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Pr="001C5AF7" w:rsidRDefault="00BD0EAA" w:rsidP="00D055CB">
      <w:pPr>
        <w:widowControl w:val="0"/>
        <w:spacing w:line="360" w:lineRule="auto"/>
        <w:outlineLvl w:val="0"/>
        <w:rPr>
          <w:b/>
          <w:noProof/>
          <w:sz w:val="32"/>
          <w:szCs w:val="20"/>
        </w:rPr>
      </w:pP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Администрация муниципального образования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 xml:space="preserve">сельское поселение «Деревня Чемоданово»  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Юхновского района, Калужской области</w:t>
      </w:r>
    </w:p>
    <w:p w:rsidR="00FF26A3" w:rsidRPr="001C5AF7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</w:p>
    <w:p w:rsidR="00BD0EAA" w:rsidRPr="001C5AF7" w:rsidRDefault="00BD0EAA" w:rsidP="00BD0EAA">
      <w:pPr>
        <w:widowControl w:val="0"/>
        <w:spacing w:line="360" w:lineRule="auto"/>
        <w:jc w:val="center"/>
        <w:outlineLvl w:val="0"/>
        <w:rPr>
          <w:b/>
          <w:sz w:val="32"/>
          <w:szCs w:val="20"/>
        </w:rPr>
      </w:pPr>
      <w:r w:rsidRPr="001C5AF7">
        <w:rPr>
          <w:b/>
          <w:noProof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</w:t>
      </w:r>
      <w:r w:rsidR="00270DF4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E50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июля 2021</w:t>
      </w: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</w:t>
      </w:r>
      <w:r w:rsidRPr="001C5AF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 w:rsidR="00EC62DA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 </w:t>
      </w:r>
      <w:r w:rsidR="00270DF4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4" w:type="dxa"/>
        <w:tblLayout w:type="fixed"/>
        <w:tblLook w:val="0000"/>
      </w:tblPr>
      <w:tblGrid>
        <w:gridCol w:w="6321"/>
      </w:tblGrid>
      <w:tr w:rsidR="00EC62DA" w:rsidRPr="001A59DE" w:rsidTr="00D87FC6">
        <w:trPr>
          <w:trHeight w:val="945"/>
        </w:trPr>
        <w:tc>
          <w:tcPr>
            <w:tcW w:w="6321" w:type="dxa"/>
          </w:tcPr>
          <w:p w:rsidR="00EC62DA" w:rsidRPr="001A59DE" w:rsidRDefault="00EC62DA" w:rsidP="00EC62DA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DE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кое поселение «Деревня Чемоданово</w:t>
            </w:r>
            <w:r w:rsidRPr="001A59DE">
              <w:rPr>
                <w:rFonts w:ascii="Times New Roman" w:hAnsi="Times New Roman"/>
                <w:b/>
                <w:kern w:val="36"/>
                <w:sz w:val="24"/>
                <w:szCs w:val="24"/>
              </w:rPr>
              <w:t>»  муниципального района «Юхновский район» Калужской области</w:t>
            </w:r>
            <w:r w:rsidRPr="001A59DE"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</w:rPr>
              <w:t xml:space="preserve"> </w:t>
            </w:r>
          </w:p>
        </w:tc>
      </w:tr>
    </w:tbl>
    <w:p w:rsidR="00EC62DA" w:rsidRPr="001A59DE" w:rsidRDefault="00EC62DA" w:rsidP="00EC62DA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 В соответствии со статьёй 42.10 Федерального закона от 24.07.2007 года № 221-ФЗ «О государственном кадастре недвижимости» администрация муниципального образования сельс</w:t>
      </w:r>
      <w:r>
        <w:rPr>
          <w:rFonts w:ascii="Times New Roman" w:hAnsi="Times New Roman"/>
          <w:sz w:val="24"/>
          <w:szCs w:val="24"/>
        </w:rPr>
        <w:t xml:space="preserve">кое поселение «Деревня Чемоданово» </w:t>
      </w:r>
      <w:r w:rsidRPr="001A59DE">
        <w:rPr>
          <w:rFonts w:ascii="Times New Roman" w:hAnsi="Times New Roman"/>
          <w:sz w:val="24"/>
          <w:szCs w:val="24"/>
        </w:rPr>
        <w:t xml:space="preserve">Юхновского района Калужской области </w:t>
      </w:r>
    </w:p>
    <w:p w:rsidR="00EC62DA" w:rsidRPr="001A59DE" w:rsidRDefault="00EC62DA" w:rsidP="00EC62DA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>ПОСТАНОВЛЯЕТ:</w:t>
      </w:r>
    </w:p>
    <w:p w:rsidR="00EC62DA" w:rsidRPr="001A59DE" w:rsidRDefault="00EC62DA" w:rsidP="00EC62DA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1. Создать </w:t>
      </w:r>
      <w:r w:rsidRPr="001A59DE">
        <w:rPr>
          <w:rFonts w:ascii="Times New Roman" w:hAnsi="Times New Roman"/>
          <w:kern w:val="36"/>
          <w:sz w:val="24"/>
          <w:szCs w:val="24"/>
        </w:rPr>
        <w:t>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</w:t>
      </w:r>
      <w:r>
        <w:rPr>
          <w:rFonts w:ascii="Times New Roman" w:hAnsi="Times New Roman"/>
          <w:kern w:val="36"/>
          <w:sz w:val="24"/>
          <w:szCs w:val="24"/>
        </w:rPr>
        <w:t xml:space="preserve">кое поселение «Деревня Чемоданово» </w:t>
      </w:r>
      <w:r w:rsidRPr="001A59DE">
        <w:rPr>
          <w:rFonts w:ascii="Times New Roman" w:hAnsi="Times New Roman"/>
          <w:kern w:val="36"/>
          <w:sz w:val="24"/>
          <w:szCs w:val="24"/>
        </w:rPr>
        <w:t>муниципального района «Юхновский район» Калужской области в составе, указанном в Приложении № 1 к настоящему постановлению.</w:t>
      </w:r>
    </w:p>
    <w:p w:rsidR="00EC62DA" w:rsidRDefault="00EC62DA" w:rsidP="00EC62D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2. Утвердить </w:t>
      </w:r>
      <w:r w:rsidRPr="001A59DE">
        <w:rPr>
          <w:rFonts w:ascii="Times New Roman" w:hAnsi="Times New Roman"/>
          <w:kern w:val="36"/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</w:t>
      </w:r>
      <w:r>
        <w:rPr>
          <w:rFonts w:ascii="Times New Roman" w:hAnsi="Times New Roman"/>
          <w:kern w:val="36"/>
          <w:sz w:val="24"/>
          <w:szCs w:val="24"/>
        </w:rPr>
        <w:t xml:space="preserve">кое поселение «Деревня Чемоданово» </w:t>
      </w:r>
      <w:r w:rsidRPr="001A59DE">
        <w:rPr>
          <w:rFonts w:ascii="Times New Roman" w:hAnsi="Times New Roman"/>
          <w:kern w:val="36"/>
          <w:sz w:val="24"/>
          <w:szCs w:val="24"/>
        </w:rPr>
        <w:t>муниципального района «Юхновский район» Калужской области согласно Приложению № 2.</w:t>
      </w:r>
    </w:p>
    <w:p w:rsidR="00E506BB" w:rsidRPr="001A59DE" w:rsidRDefault="00E506BB" w:rsidP="00EC62D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3. Постановление администрации МО сельское поселение «Деревня Чемоданово» от </w:t>
      </w:r>
      <w:r w:rsidR="00270DF4">
        <w:rPr>
          <w:rFonts w:ascii="Times New Roman" w:hAnsi="Times New Roman"/>
          <w:kern w:val="36"/>
          <w:sz w:val="24"/>
          <w:szCs w:val="24"/>
        </w:rPr>
        <w:t>23 июля 2021</w:t>
      </w:r>
      <w:r>
        <w:rPr>
          <w:rFonts w:ascii="Times New Roman" w:hAnsi="Times New Roman"/>
          <w:kern w:val="36"/>
          <w:sz w:val="24"/>
          <w:szCs w:val="24"/>
        </w:rPr>
        <w:t xml:space="preserve"> г. № </w:t>
      </w:r>
      <w:r w:rsidR="00270DF4">
        <w:rPr>
          <w:rFonts w:ascii="Times New Roman" w:hAnsi="Times New Roman"/>
          <w:kern w:val="36"/>
          <w:sz w:val="24"/>
          <w:szCs w:val="24"/>
        </w:rPr>
        <w:t>22</w:t>
      </w:r>
      <w:r>
        <w:rPr>
          <w:rFonts w:ascii="Times New Roman" w:hAnsi="Times New Roman"/>
          <w:kern w:val="36"/>
          <w:sz w:val="24"/>
          <w:szCs w:val="24"/>
        </w:rPr>
        <w:t xml:space="preserve"> «</w:t>
      </w:r>
      <w:r w:rsidRPr="001A59DE">
        <w:rPr>
          <w:rFonts w:ascii="Times New Roman" w:hAnsi="Times New Roman"/>
          <w:b/>
          <w:kern w:val="36"/>
          <w:sz w:val="24"/>
          <w:szCs w:val="24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</w:t>
      </w:r>
      <w:r>
        <w:rPr>
          <w:rFonts w:ascii="Times New Roman" w:hAnsi="Times New Roman"/>
          <w:b/>
          <w:kern w:val="36"/>
          <w:sz w:val="24"/>
          <w:szCs w:val="24"/>
        </w:rPr>
        <w:t>кое поселение «Деревня Чемоданово</w:t>
      </w:r>
      <w:r w:rsidRPr="001A59DE">
        <w:rPr>
          <w:rFonts w:ascii="Times New Roman" w:hAnsi="Times New Roman"/>
          <w:b/>
          <w:kern w:val="36"/>
          <w:sz w:val="24"/>
          <w:szCs w:val="24"/>
        </w:rPr>
        <w:t>»  муниципального района «Юхновский район» Калужской области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» </w:t>
      </w:r>
      <w:r w:rsidRPr="00270DF4">
        <w:rPr>
          <w:rFonts w:ascii="Times New Roman" w:hAnsi="Times New Roman"/>
          <w:b/>
          <w:i/>
          <w:kern w:val="36"/>
          <w:sz w:val="24"/>
          <w:szCs w:val="24"/>
          <w:u w:val="single"/>
        </w:rPr>
        <w:t>считать утратившим силу.</w:t>
      </w:r>
    </w:p>
    <w:p w:rsidR="00EC62DA" w:rsidRPr="001A59DE" w:rsidRDefault="00E506BB" w:rsidP="00EC62D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4</w:t>
      </w:r>
      <w:r w:rsidR="00EC62DA" w:rsidRPr="001A59DE">
        <w:rPr>
          <w:rFonts w:ascii="Times New Roman" w:hAnsi="Times New Roman"/>
          <w:kern w:val="36"/>
          <w:sz w:val="24"/>
          <w:szCs w:val="24"/>
        </w:rPr>
        <w:t>. Настоящее постановление вступает в силу после его обнародования на информационном стенде в помещении администрации муниципального образования сельс</w:t>
      </w:r>
      <w:r w:rsidR="00EC62DA">
        <w:rPr>
          <w:rFonts w:ascii="Times New Roman" w:hAnsi="Times New Roman"/>
          <w:kern w:val="36"/>
          <w:sz w:val="24"/>
          <w:szCs w:val="24"/>
        </w:rPr>
        <w:t>кое поселение «Деревня Чемоданово»</w:t>
      </w:r>
      <w:r w:rsidR="00E43832">
        <w:rPr>
          <w:rFonts w:ascii="Times New Roman" w:hAnsi="Times New Roman"/>
          <w:kern w:val="36"/>
          <w:sz w:val="24"/>
          <w:szCs w:val="24"/>
        </w:rPr>
        <w:t xml:space="preserve"> </w:t>
      </w:r>
      <w:r w:rsidR="00EC62DA" w:rsidRPr="001A59DE">
        <w:rPr>
          <w:rFonts w:ascii="Times New Roman" w:hAnsi="Times New Roman"/>
          <w:kern w:val="36"/>
          <w:sz w:val="24"/>
          <w:szCs w:val="24"/>
        </w:rPr>
        <w:t>и подлежит размещению на официальном сайте администрации муниципального образования администрации муниципального образования сельск</w:t>
      </w:r>
      <w:r w:rsidR="00EC62DA">
        <w:rPr>
          <w:rFonts w:ascii="Times New Roman" w:hAnsi="Times New Roman"/>
          <w:kern w:val="36"/>
          <w:sz w:val="24"/>
          <w:szCs w:val="24"/>
        </w:rPr>
        <w:t>ое поселение «Деревня Чемоданово»</w:t>
      </w:r>
      <w:r w:rsidR="00E43832">
        <w:rPr>
          <w:rFonts w:ascii="Times New Roman" w:hAnsi="Times New Roman"/>
          <w:kern w:val="36"/>
          <w:sz w:val="24"/>
          <w:szCs w:val="24"/>
        </w:rPr>
        <w:t xml:space="preserve"> </w:t>
      </w:r>
      <w:r w:rsidR="00EC62DA" w:rsidRPr="001A59DE">
        <w:rPr>
          <w:rFonts w:ascii="Times New Roman" w:hAnsi="Times New Roman"/>
          <w:kern w:val="36"/>
          <w:sz w:val="24"/>
          <w:szCs w:val="24"/>
        </w:rPr>
        <w:t>в сети «Интернет».</w:t>
      </w:r>
    </w:p>
    <w:p w:rsidR="00EC62DA" w:rsidRPr="001A59DE" w:rsidRDefault="00E506BB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C62DA" w:rsidRPr="001A59D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C62DA" w:rsidRPr="001A59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C62DA" w:rsidRPr="001A59D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C62DA" w:rsidRPr="001A59DE" w:rsidRDefault="00EC62DA" w:rsidP="00EC6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EC62DA" w:rsidRPr="001A59DE" w:rsidRDefault="00EC62DA" w:rsidP="00EC6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МО сельское поселение </w:t>
      </w:r>
    </w:p>
    <w:p w:rsidR="00EC62DA" w:rsidRPr="001A59DE" w:rsidRDefault="00EC62DA" w:rsidP="00EC6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«Деревня Чемоданово»</w:t>
      </w:r>
      <w:r w:rsidRPr="001A59DE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Г.Н. Низова</w:t>
      </w:r>
    </w:p>
    <w:p w:rsidR="00EC62DA" w:rsidRPr="001A59DE" w:rsidRDefault="00EC62DA" w:rsidP="00EC62DA">
      <w:pPr>
        <w:tabs>
          <w:tab w:val="left" w:pos="1020"/>
        </w:tabs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tabs>
          <w:tab w:val="left" w:pos="1020"/>
        </w:tabs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Default="00EC62DA" w:rsidP="00EC6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>Приложение №1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к постановлению администрации 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СП «Деревня Чемоданово</w:t>
      </w:r>
      <w:r w:rsidRPr="001A59DE">
        <w:rPr>
          <w:rFonts w:ascii="Times New Roman" w:hAnsi="Times New Roman"/>
          <w:b/>
          <w:sz w:val="24"/>
          <w:szCs w:val="24"/>
        </w:rPr>
        <w:t>»</w:t>
      </w:r>
    </w:p>
    <w:p w:rsidR="00EC62DA" w:rsidRPr="001A59DE" w:rsidRDefault="00270DF4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</w:t>
      </w:r>
      <w:r w:rsidR="00E506BB">
        <w:rPr>
          <w:rFonts w:ascii="Times New Roman" w:hAnsi="Times New Roman"/>
          <w:b/>
          <w:sz w:val="24"/>
          <w:szCs w:val="24"/>
        </w:rPr>
        <w:t xml:space="preserve">.07.2021 </w:t>
      </w:r>
      <w:r w:rsidR="00EC62DA">
        <w:rPr>
          <w:rFonts w:ascii="Times New Roman" w:hAnsi="Times New Roman"/>
          <w:b/>
          <w:sz w:val="24"/>
          <w:szCs w:val="24"/>
        </w:rPr>
        <w:t xml:space="preserve"> г. № 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 xml:space="preserve">Состав комиссии по согласованию местоположения границ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 xml:space="preserve">земельных участков при выполнении комплексных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 xml:space="preserve">кадастровых работ на территории муниципального образования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сельское поселение «Деревня Чемоданово</w:t>
      </w:r>
      <w:r w:rsidRPr="001A59DE">
        <w:rPr>
          <w:rFonts w:ascii="Times New Roman" w:hAnsi="Times New Roman"/>
          <w:b/>
          <w:kern w:val="36"/>
          <w:sz w:val="24"/>
          <w:szCs w:val="24"/>
        </w:rPr>
        <w:t>»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муниципального района «Юхновский район» Калужской области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3260"/>
      </w:tblGrid>
      <w:tr w:rsidR="00EC62DA" w:rsidRPr="001A59DE" w:rsidTr="00EC62DA">
        <w:tc>
          <w:tcPr>
            <w:tcW w:w="6487" w:type="dxa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3260" w:type="dxa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EC62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муниципального образова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ния сельское поселение «Деревня Чемоданово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EC62DA" w:rsidRPr="001A59DE" w:rsidRDefault="00270DF4" w:rsidP="00D87F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Низова Галина Николаевна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EE2DA7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EC62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муниципального образова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ния сельское поселение «Деревня Чемоданово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Казакова Ирина Владимировна 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Представитель от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Межрегиональное территориальное управление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Росимущества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Калужской, Брянской и Смоленской областях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Ведущий специалист отдела по управлению имуществом</w:t>
            </w:r>
            <w:proofErr w:type="gramStart"/>
            <w:r w:rsidRPr="001A59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59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A59DE">
              <w:rPr>
                <w:rFonts w:ascii="Times New Roman" w:hAnsi="Times New Roman"/>
                <w:sz w:val="24"/>
                <w:szCs w:val="24"/>
              </w:rPr>
              <w:t>емельными и природными ресурсами администрации муниципального района «Юхновский район»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Зайцева Татьяна Сергеевна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Начальник отдела архитектуры и строительства администрации муниципального района «Юхновский район»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9DE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Лилия Ивановна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Представитель  от </w:t>
            </w:r>
            <w:proofErr w:type="spellStart"/>
            <w:r w:rsidRPr="001A59DE">
              <w:rPr>
                <w:rFonts w:ascii="Times New Roman" w:hAnsi="Times New Roman"/>
                <w:sz w:val="24"/>
                <w:szCs w:val="24"/>
              </w:rPr>
              <w:t>саморегулируемой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организации, членом которой является кадастровый инженер (в случае, если он является членом </w:t>
            </w:r>
            <w:proofErr w:type="spellStart"/>
            <w:r w:rsidRPr="001A59DE">
              <w:rPr>
                <w:rFonts w:ascii="Times New Roman" w:hAnsi="Times New Roman"/>
                <w:sz w:val="24"/>
                <w:szCs w:val="24"/>
              </w:rPr>
              <w:t>саморегулируемой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организации)</w:t>
            </w:r>
          </w:p>
          <w:p w:rsidR="00EC62DA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инженер. </w:t>
            </w:r>
          </w:p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ассоциации СРО «Кадастровые инженеры»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Грибков Вадим Викторович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инженер.</w:t>
            </w:r>
          </w:p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Член ассоциации СРО «Кадастровые инженеры»</w:t>
            </w:r>
          </w:p>
        </w:tc>
        <w:tc>
          <w:tcPr>
            <w:tcW w:w="3260" w:type="dxa"/>
            <w:vAlign w:val="center"/>
          </w:tcPr>
          <w:p w:rsidR="00EC62DA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Викторович </w:t>
            </w:r>
            <w:bookmarkStart w:id="0" w:name="_GoBack"/>
            <w:bookmarkEnd w:id="0"/>
          </w:p>
        </w:tc>
      </w:tr>
    </w:tbl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Default="00EC62DA" w:rsidP="00EC6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>Приложение № 2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к постановлению администрации 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СП «Деревня Чемоданово</w:t>
      </w:r>
      <w:r w:rsidRPr="001A59DE">
        <w:rPr>
          <w:rFonts w:ascii="Times New Roman" w:hAnsi="Times New Roman"/>
          <w:b/>
          <w:sz w:val="24"/>
          <w:szCs w:val="24"/>
        </w:rPr>
        <w:t>»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70DF4">
        <w:rPr>
          <w:rFonts w:ascii="Times New Roman" w:hAnsi="Times New Roman"/>
          <w:b/>
          <w:sz w:val="24"/>
          <w:szCs w:val="24"/>
        </w:rPr>
        <w:t>27</w:t>
      </w:r>
      <w:r w:rsidR="00E506BB">
        <w:rPr>
          <w:rFonts w:ascii="Times New Roman" w:hAnsi="Times New Roman"/>
          <w:b/>
          <w:sz w:val="24"/>
          <w:szCs w:val="24"/>
        </w:rPr>
        <w:t>.07.2021</w:t>
      </w:r>
      <w:r w:rsidR="00C83828"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270DF4">
        <w:rPr>
          <w:rFonts w:ascii="Times New Roman" w:hAnsi="Times New Roman"/>
          <w:b/>
          <w:sz w:val="24"/>
          <w:szCs w:val="24"/>
        </w:rPr>
        <w:t>23</w:t>
      </w:r>
    </w:p>
    <w:p w:rsidR="00EC62DA" w:rsidRPr="001A59DE" w:rsidRDefault="00EC62DA" w:rsidP="00EC62DA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Регламент</w:t>
      </w: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FF0000"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работы согласительной комиссии по согласованию местоположения границ земельных участков  при выполнении комплексных кадастровых работ на территории муниципального образова</w:t>
      </w:r>
      <w:r>
        <w:rPr>
          <w:rFonts w:ascii="Times New Roman" w:hAnsi="Times New Roman"/>
          <w:b/>
          <w:kern w:val="36"/>
          <w:sz w:val="24"/>
          <w:szCs w:val="24"/>
        </w:rPr>
        <w:t>ния сельское поселение «Деревня Чемоданово»</w:t>
      </w: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муниципального района «Юхновский район» Калужской области</w:t>
      </w: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1. Общие положения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9DE">
        <w:rPr>
          <w:rFonts w:ascii="Times New Roman" w:hAnsi="Times New Roman"/>
          <w:sz w:val="24"/>
          <w:szCs w:val="24"/>
        </w:rPr>
        <w:t>1.1 Настоящий  регламент, разработан в соответствии с частью 5 статьи 42.10  Федерального  закона от  24.07.2007 года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</w:t>
      </w:r>
      <w:r>
        <w:rPr>
          <w:rFonts w:ascii="Times New Roman" w:hAnsi="Times New Roman"/>
          <w:sz w:val="24"/>
          <w:szCs w:val="24"/>
        </w:rPr>
        <w:t xml:space="preserve">ния сельское поселение «Деревня Чемоданово» </w:t>
      </w:r>
      <w:r w:rsidRPr="001A59DE">
        <w:rPr>
          <w:rFonts w:ascii="Times New Roman" w:hAnsi="Times New Roman"/>
          <w:sz w:val="24"/>
          <w:szCs w:val="24"/>
        </w:rPr>
        <w:t>(далее - согласительная комиссия).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2. Полномочия согласительной комиссии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К полномочиям согласительной комиссии относятся: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2.1. Рассмотрение возражений заинтересованных лиц, указанных в </w:t>
      </w:r>
      <w:hyperlink r:id="rId6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относительно местоположения границ земельных участков.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1A59DE">
        <w:rPr>
          <w:rFonts w:ascii="Times New Roman" w:hAnsi="Times New Roman"/>
          <w:sz w:val="24"/>
          <w:szCs w:val="24"/>
        </w:rPr>
        <w:t xml:space="preserve">Подготовка заключения согласительной комиссии о результатах рассмотрения возражений заинтересованных лиц, указанных в </w:t>
      </w:r>
      <w:hyperlink r:id="rId7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2.3. Оформление акта согласования местоположения границ при выполнении комплексных кадастровых работ.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2.4. Разъяснение заинтересованным лицам, указанным в </w:t>
      </w:r>
      <w:hyperlink r:id="rId8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3. Состав согласительной комиссии, полномочия членов согласительной комиссии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lastRenderedPageBreak/>
        <w:t>3.1.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3.2. Состав согласительной комиссии утверждается администрацией муниципального образова</w:t>
      </w:r>
      <w:r>
        <w:rPr>
          <w:rFonts w:ascii="Times New Roman" w:hAnsi="Times New Roman"/>
          <w:sz w:val="24"/>
          <w:szCs w:val="24"/>
        </w:rPr>
        <w:t>ния сельское поселение «Деревня Чемоданово</w:t>
      </w:r>
      <w:r w:rsidRPr="001A59DE">
        <w:rPr>
          <w:rFonts w:ascii="Times New Roman" w:hAnsi="Times New Roman"/>
          <w:sz w:val="24"/>
          <w:szCs w:val="24"/>
        </w:rPr>
        <w:t>»;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2.3. Замена членов согласительной комиссии осуществляется по решению администрации муниципального образования сельское поселе</w:t>
      </w:r>
      <w:r>
        <w:rPr>
          <w:rFonts w:ascii="Times New Roman" w:hAnsi="Times New Roman"/>
          <w:sz w:val="24"/>
          <w:szCs w:val="24"/>
        </w:rPr>
        <w:t>ние «Деревня Чемоданово</w:t>
      </w:r>
      <w:r w:rsidRPr="001A59DE">
        <w:rPr>
          <w:rFonts w:ascii="Times New Roman" w:hAnsi="Times New Roman"/>
          <w:sz w:val="24"/>
          <w:szCs w:val="24"/>
        </w:rPr>
        <w:t>».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 Председатель согласительной комиссии: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3.4.1) осуществляет общее руководство деятельностью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3.4.2) председательствует на заседаниях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3.4.3) распределяет обязанности между членами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3.4.4) назначает дату заседания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3.4.5) осуществляет общий </w:t>
      </w:r>
      <w:proofErr w:type="gramStart"/>
      <w:r w:rsidRPr="001A59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деятельностью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 Секретарь согласительной комиссии: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3.5.1) ведет протокол заседания согласительной комиссии, оформляет протокол заседания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3.5.2) готовит материалы к заседанию согласительной комиссии и проекты принимаемых решений;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позднее, чем за три рабочих дня до дня проведения заседания;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3.6. Члены согласительной комиссии обязаны: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3.6.1)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3.6.2) принимать участие в заседаниях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>4. Порядок работы согласительной комиссии</w:t>
      </w:r>
    </w:p>
    <w:p w:rsidR="00EC62DA" w:rsidRPr="001A59DE" w:rsidRDefault="00EC62DA" w:rsidP="00EC62D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1A59DE">
        <w:rPr>
          <w:rFonts w:ascii="Times New Roman" w:hAnsi="Times New Roman"/>
          <w:sz w:val="24"/>
          <w:szCs w:val="24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9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и исполнитель комплексных кадастровых работ.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4.3. Извещение о проведении заседания согласительной комиссии по форме, установленной Приказом Минэкономразвития Российской Федерации от 23.04.2015 года № 254,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№ 221-ФЗ для опубликования, размещения и направления извещения о начале выполнения комплексных кадастровых работ, не менее</w:t>
      </w:r>
      <w:proofErr w:type="gramStart"/>
      <w:r w:rsidRPr="001A59DE">
        <w:rPr>
          <w:rFonts w:ascii="Times New Roman" w:hAnsi="Times New Roman"/>
          <w:sz w:val="24"/>
          <w:szCs w:val="24"/>
        </w:rPr>
        <w:t>,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 чем за пятнадцать рабочих дней до дня проведения первого заседания.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1A59DE">
        <w:rPr>
          <w:rFonts w:ascii="Times New Roman" w:hAnsi="Times New Roman"/>
          <w:sz w:val="24"/>
          <w:szCs w:val="24"/>
        </w:rPr>
        <w:t>Проект карты - плана территории, подготовленный исполнителем работ по форме, установленной приказом Минэкономразвития России от 22.06.2015 года №  387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(далее - Приказ № 387), направляется в согласительную комиссию заказчиком комплексных кадастровых работ в соответствии с частью 9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статьи 42.10 Федерального закона № 221-ФЗ.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4.5.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lastRenderedPageBreak/>
        <w:t>4.5.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0" w:history="1">
        <w:r w:rsidRPr="001A59DE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1A59DE">
        <w:rPr>
          <w:rFonts w:ascii="Times New Roman" w:hAnsi="Times New Roman"/>
          <w:sz w:val="24"/>
          <w:szCs w:val="24"/>
        </w:rPr>
        <w:t xml:space="preserve"> № 221-ФЗ.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4.7. </w:t>
      </w:r>
      <w:proofErr w:type="gramStart"/>
      <w:r w:rsidRPr="001A59DE">
        <w:rPr>
          <w:rFonts w:ascii="Times New Roman" w:hAnsi="Times New Roman"/>
          <w:sz w:val="24"/>
          <w:szCs w:val="24"/>
        </w:rPr>
        <w:t xml:space="preserve">Возражения заинтересованных лиц, указанных в </w:t>
      </w:r>
      <w:hyperlink r:id="rId11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относительно местоположения границ земельного участка, указанного в 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9DE">
        <w:rPr>
          <w:rFonts w:ascii="Times New Roman" w:hAnsi="Times New Roman"/>
          <w:sz w:val="24"/>
          <w:szCs w:val="24"/>
        </w:rPr>
        <w:t xml:space="preserve">4.8.1)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2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4.8.2)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3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4.9. Акт согласования местоположения границ земельных участков при выполнении комплексных кадастровых работ, форма которого установлена приказом № 387, и заключение согласительной комиссии, указанное в пункте 2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4.10.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4.11. </w:t>
      </w:r>
      <w:proofErr w:type="gramStart"/>
      <w:r w:rsidRPr="001A59DE">
        <w:rPr>
          <w:rFonts w:ascii="Times New Roman" w:hAnsi="Times New Roman"/>
          <w:sz w:val="24"/>
          <w:szCs w:val="24"/>
        </w:rPr>
        <w:t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года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E506BB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4.12. </w:t>
      </w:r>
      <w:r w:rsidR="00E506BB" w:rsidRPr="00E506BB">
        <w:rPr>
          <w:rFonts w:ascii="Times New Roman" w:hAnsi="Times New Roman"/>
          <w:sz w:val="24"/>
          <w:szCs w:val="24"/>
        </w:rPr>
        <w:t xml:space="preserve">Заседание согласительной комиссии считается правомочным, если на нем присутствует не менее 50 процентов от установленного числа ее членов. 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4.13.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4.14. В случае несогласия с принятым на заседании решением члены согласительной комиссии имеют право излагать в письменной форме свое мнение, </w:t>
      </w:r>
      <w:r w:rsidRPr="001A59DE">
        <w:rPr>
          <w:rFonts w:ascii="Times New Roman" w:hAnsi="Times New Roman"/>
          <w:sz w:val="24"/>
          <w:szCs w:val="24"/>
        </w:rPr>
        <w:lastRenderedPageBreak/>
        <w:t>которое подлежит обязательному приобщению к протоколу заседания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4.15.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E506BB" w:rsidRDefault="00E506BB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5. Порядок рассмотрения споров о местоположении границ земельных участков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A7AB8" w:rsidRPr="001C5AF7" w:rsidRDefault="00EC62DA" w:rsidP="00EC6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</w:t>
      </w:r>
      <w:r>
        <w:rPr>
          <w:rFonts w:ascii="Times New Roman" w:hAnsi="Times New Roman"/>
          <w:sz w:val="24"/>
          <w:szCs w:val="24"/>
        </w:rPr>
        <w:t xml:space="preserve"> кадастровые работы.</w:t>
      </w:r>
    </w:p>
    <w:sectPr w:rsidR="002A7AB8" w:rsidRPr="001C5AF7" w:rsidSect="00C83828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092B3A"/>
    <w:rsid w:val="00124B30"/>
    <w:rsid w:val="00146CF6"/>
    <w:rsid w:val="00190DB7"/>
    <w:rsid w:val="001C5AF7"/>
    <w:rsid w:val="00223419"/>
    <w:rsid w:val="00240EDA"/>
    <w:rsid w:val="00247784"/>
    <w:rsid w:val="00270DF4"/>
    <w:rsid w:val="00282DE7"/>
    <w:rsid w:val="002A173A"/>
    <w:rsid w:val="002A7AB8"/>
    <w:rsid w:val="002C2C65"/>
    <w:rsid w:val="002E273C"/>
    <w:rsid w:val="00375882"/>
    <w:rsid w:val="00376241"/>
    <w:rsid w:val="0037772E"/>
    <w:rsid w:val="003B3800"/>
    <w:rsid w:val="003B7534"/>
    <w:rsid w:val="003F044A"/>
    <w:rsid w:val="00412245"/>
    <w:rsid w:val="00453D79"/>
    <w:rsid w:val="00492741"/>
    <w:rsid w:val="00492CC3"/>
    <w:rsid w:val="004B7779"/>
    <w:rsid w:val="004D5165"/>
    <w:rsid w:val="0052031A"/>
    <w:rsid w:val="00520C5D"/>
    <w:rsid w:val="005369ED"/>
    <w:rsid w:val="00545527"/>
    <w:rsid w:val="00567AEF"/>
    <w:rsid w:val="006778E6"/>
    <w:rsid w:val="006945AE"/>
    <w:rsid w:val="006968CE"/>
    <w:rsid w:val="006A5725"/>
    <w:rsid w:val="007417D0"/>
    <w:rsid w:val="007910C1"/>
    <w:rsid w:val="007A7AD1"/>
    <w:rsid w:val="007D4DDF"/>
    <w:rsid w:val="0081582B"/>
    <w:rsid w:val="00874209"/>
    <w:rsid w:val="00923611"/>
    <w:rsid w:val="009475E6"/>
    <w:rsid w:val="009A16C9"/>
    <w:rsid w:val="009A1B5E"/>
    <w:rsid w:val="009B2FEE"/>
    <w:rsid w:val="009B71CB"/>
    <w:rsid w:val="00A2579A"/>
    <w:rsid w:val="00A96540"/>
    <w:rsid w:val="00AA6F5B"/>
    <w:rsid w:val="00B17C1D"/>
    <w:rsid w:val="00B358E1"/>
    <w:rsid w:val="00BD0EAA"/>
    <w:rsid w:val="00BD239C"/>
    <w:rsid w:val="00C41A7F"/>
    <w:rsid w:val="00C547AE"/>
    <w:rsid w:val="00C83828"/>
    <w:rsid w:val="00CE7F0A"/>
    <w:rsid w:val="00CF2043"/>
    <w:rsid w:val="00D055CB"/>
    <w:rsid w:val="00D73DBB"/>
    <w:rsid w:val="00DF2156"/>
    <w:rsid w:val="00E00064"/>
    <w:rsid w:val="00E43832"/>
    <w:rsid w:val="00E506BB"/>
    <w:rsid w:val="00E74BF0"/>
    <w:rsid w:val="00E81CC1"/>
    <w:rsid w:val="00E86BCE"/>
    <w:rsid w:val="00EC62DA"/>
    <w:rsid w:val="00F26574"/>
    <w:rsid w:val="00F30D04"/>
    <w:rsid w:val="00F47DF3"/>
    <w:rsid w:val="00F9166D"/>
    <w:rsid w:val="00FE67F7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kipedia.ru/document/5155885?pid=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2021-07-27T11:40:00Z</cp:lastPrinted>
  <dcterms:created xsi:type="dcterms:W3CDTF">2021-07-27T11:43:00Z</dcterms:created>
  <dcterms:modified xsi:type="dcterms:W3CDTF">2021-07-27T12:00:00Z</dcterms:modified>
</cp:coreProperties>
</file>